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4" w:rsidRDefault="00D340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М53136001</w:t>
      </w:r>
    </w:p>
    <w:p w:rsidR="00657142" w:rsidRPr="00657142" w:rsidRDefault="006571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090" w:rsidRDefault="00D34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Услуга «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Предоставление материальной помощи для погребения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» - государственная услуга по приему заявлений и выплате материальной и иной помощи для погребения. Предоставляется органами местного самоуправления.</w:t>
      </w:r>
    </w:p>
    <w:sdt>
      <w:sdtPr>
        <w:id w:val="-12525001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57142" w:rsidRDefault="00657142">
          <w:pPr>
            <w:pStyle w:val="a3"/>
          </w:pPr>
        </w:p>
        <w:p w:rsidR="00465005" w:rsidRPr="00465005" w:rsidRDefault="00657142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r w:rsidRPr="00465005">
            <w:rPr>
              <w:sz w:val="24"/>
              <w:szCs w:val="24"/>
            </w:rPr>
            <w:fldChar w:fldCharType="begin"/>
          </w:r>
          <w:r w:rsidRPr="00465005">
            <w:rPr>
              <w:sz w:val="24"/>
              <w:szCs w:val="24"/>
            </w:rPr>
            <w:instrText xml:space="preserve"> TOC \o "1-3" \h \z \u </w:instrText>
          </w:r>
          <w:r w:rsidRPr="00465005">
            <w:rPr>
              <w:sz w:val="24"/>
              <w:szCs w:val="24"/>
            </w:rPr>
            <w:fldChar w:fldCharType="separate"/>
          </w:r>
          <w:hyperlink w:anchor="_Toc381722133" w:history="1">
            <w:r w:rsidR="00465005"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Орган, предоставляющий госуда</w:t>
            </w:r>
            <w:r w:rsidR="00465005"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р</w:t>
            </w:r>
            <w:r w:rsidR="00465005"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ственную услугу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34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Категории заявителей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35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Основание для отказа в предоставлении государственной услуги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36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Срок выполнения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37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Результат оказания услуги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38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Размер платы, взимаемой с заявителя при предоставлении государственной услуги</w:t>
            </w:r>
          </w:hyperlink>
          <w:r w:rsidRPr="00465005"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  <w:t xml:space="preserve"> </w:t>
          </w:r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39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Основание для отказа в приеме документов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0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Обязательные документы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1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shd w:val="clear" w:color="auto" w:fill="FFFFFF"/>
              </w:rPr>
              <w:t>Необязательные документы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2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shd w:val="clear" w:color="auto" w:fill="FFFFFF"/>
              </w:rPr>
              <w:t>Документы, запрашиваемые с использованием межведомственного взаимодействия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3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Шаблон заявления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4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Пример заполнения заявления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5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Ситуации</w:t>
            </w:r>
          </w:hyperlink>
        </w:p>
        <w:p w:rsidR="00465005" w:rsidRPr="00465005" w:rsidRDefault="0046500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4F81BD" w:themeColor="accent1"/>
              <w:sz w:val="24"/>
              <w:szCs w:val="24"/>
              <w:lang w:eastAsia="ru-RU"/>
            </w:rPr>
          </w:pPr>
          <w:hyperlink w:anchor="_Toc381722146" w:history="1">
            <w:r w:rsidRPr="00465005">
              <w:rPr>
                <w:rStyle w:val="a4"/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Поправки по районам</w:t>
            </w:r>
          </w:hyperlink>
        </w:p>
        <w:p w:rsidR="00657142" w:rsidRDefault="00657142">
          <w:r w:rsidRPr="00465005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657142" w:rsidRPr="00657142" w:rsidRDefault="006571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142" w:rsidRPr="00657142" w:rsidRDefault="00657142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0" w:name="_Toc381722133"/>
      <w:bookmarkStart w:id="1" w:name="_GoBack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Орган, предоставляющий государственную услугу</w:t>
      </w:r>
      <w:bookmarkEnd w:id="0"/>
    </w:p>
    <w:bookmarkEnd w:id="1"/>
    <w:p w:rsidR="00657142" w:rsidRPr="00657142" w:rsidRDefault="00657142" w:rsidP="006571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социальной защиты населения Белгородской области</w:t>
      </w:r>
    </w:p>
    <w:p w:rsidR="00657142" w:rsidRPr="00657142" w:rsidRDefault="00657142" w:rsidP="006571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для справок: тел./факс:  </w:t>
      </w:r>
    </w:p>
    <w:p w:rsidR="00657142" w:rsidRPr="00657142" w:rsidRDefault="006571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090" w:rsidRPr="00657142" w:rsidRDefault="00D34090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2" w:name="_Toc381722134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Категории заявителей</w:t>
      </w:r>
      <w:bookmarkEnd w:id="2"/>
    </w:p>
    <w:p w:rsidR="00C25B10" w:rsidRPr="00657142" w:rsidRDefault="00C2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упру</w:t>
      </w:r>
      <w:proofErr w:type="gramStart"/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г(</w:t>
      </w:r>
      <w:proofErr w:type="gramEnd"/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а), близкие родственники, иные родственники, законный представитель умершего или иное лицо, взявшее на себя обязанность осуществить погребение, если умерший не работал и не являлся пенсионером, а также в случае рождения мертвого ребенка по истечении 196 дней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беременности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5B10" w:rsidRPr="00657142" w:rsidRDefault="00C2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аконные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657142" w:rsidRPr="00657142" w:rsidRDefault="00657142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3" w:name="_Toc381722135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lastRenderedPageBreak/>
        <w:t>Основание для отказа в предоставлении государственной услуги</w:t>
      </w:r>
      <w:bookmarkEnd w:id="3"/>
    </w:p>
    <w:p w:rsidR="00657142" w:rsidRPr="00657142" w:rsidRDefault="00657142" w:rsidP="006571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Не полный пакет документов (ссылка на «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Обязательные документы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2A0D01" w:rsidRPr="00657142" w:rsidRDefault="0065714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статуса заявителя, обратившегося за предоставлением услуги (ссылка на «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Категории заявителей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C25B10" w:rsidRPr="00657142" w:rsidRDefault="00C25B10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4" w:name="_Toc381722136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Срок выполнения</w:t>
      </w:r>
      <w:bookmarkEnd w:id="4"/>
    </w:p>
    <w:p w:rsidR="00C25B10" w:rsidRPr="00657142" w:rsidRDefault="00C25B10" w:rsidP="00C2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и выплата материальной и иной помощи для погребения производится, если обращение за ним последовало не позднее 6 месяцев со дня смерти в размере, установленном федеральным законодательством на день обращения за назначением пособия.</w:t>
      </w:r>
    </w:p>
    <w:p w:rsidR="00C25B10" w:rsidRPr="00657142" w:rsidRDefault="00C25B10" w:rsidP="00C2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и выплата материальной и иной помощи для погребения производится в день обращения заявителя.</w:t>
      </w:r>
    </w:p>
    <w:p w:rsidR="00C25B10" w:rsidRPr="00657142" w:rsidRDefault="00C25B10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5" w:name="_Toc381722137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Результат оказания услуги</w:t>
      </w:r>
      <w:bookmarkEnd w:id="5"/>
    </w:p>
    <w:p w:rsidR="00C25B10" w:rsidRPr="00657142" w:rsidRDefault="00C25B10" w:rsidP="00C2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услуги является выдача заявителю разового поручения на выплату социального пособия на погребение.</w:t>
      </w:r>
    </w:p>
    <w:p w:rsidR="00657142" w:rsidRPr="00657142" w:rsidRDefault="00657142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6" w:name="_Toc381722138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Размер платы, взимаемой с заявителя при предоставлении государственной услуги.</w:t>
      </w:r>
      <w:bookmarkEnd w:id="6"/>
    </w:p>
    <w:p w:rsidR="00657142" w:rsidRPr="00657142" w:rsidRDefault="00657142" w:rsidP="00657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предоставляется заявителю бесплатно.</w:t>
      </w:r>
    </w:p>
    <w:p w:rsidR="00C25B10" w:rsidRPr="00657142" w:rsidRDefault="00C25B10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7" w:name="_Toc381722139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Основание для отказа в приеме документов</w:t>
      </w:r>
      <w:bookmarkEnd w:id="7"/>
    </w:p>
    <w:p w:rsidR="002A0D01" w:rsidRPr="00657142" w:rsidRDefault="00C25B10" w:rsidP="00657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отказа в приеме документов предоставления государственной услуги является предоставление документов в нечитабельном виде, незаверенной надлежащем образом ксерокопии.</w:t>
      </w:r>
    </w:p>
    <w:p w:rsidR="00C25B10" w:rsidRDefault="002A0D01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8" w:name="_Toc381722140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Обязательные документы</w:t>
      </w:r>
      <w:bookmarkEnd w:id="8"/>
    </w:p>
    <w:p w:rsidR="00657142" w:rsidRPr="00465005" w:rsidRDefault="00657142" w:rsidP="00657142">
      <w:pPr>
        <w:rPr>
          <w:rFonts w:ascii="Times New Roman" w:hAnsi="Times New Roman" w:cs="Times New Roman"/>
          <w:sz w:val="24"/>
          <w:szCs w:val="24"/>
        </w:rPr>
      </w:pPr>
      <w:r w:rsidRPr="0046500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465005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465005">
        <w:rPr>
          <w:rFonts w:ascii="Times New Roman" w:hAnsi="Times New Roman" w:cs="Times New Roman"/>
          <w:sz w:val="24"/>
          <w:szCs w:val="24"/>
        </w:rPr>
        <w:t xml:space="preserve"> не являлся пенсионером и не подлежал обязательному медицинскому страхованию: </w:t>
      </w:r>
    </w:p>
    <w:p w:rsidR="00657142" w:rsidRDefault="002A0D01" w:rsidP="00C25B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Справка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смерти по форме № 33 </w:t>
      </w:r>
    </w:p>
    <w:p w:rsidR="002A0D01" w:rsidRPr="00657142" w:rsidRDefault="002A0D01" w:rsidP="00C25B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Копия свидетельства о смерти</w:t>
      </w:r>
    </w:p>
    <w:p w:rsidR="002A0D01" w:rsidRPr="00657142" w:rsidRDefault="002A0D01" w:rsidP="00C25B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Копия документа, удостоверяющего личность лица, взявшего на себя организацию похорон</w:t>
      </w:r>
    </w:p>
    <w:p w:rsidR="00657142" w:rsidRDefault="002A0D01" w:rsidP="00C25B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Документ, подтверждающий факт регистрации умершего на территории района </w:t>
      </w:r>
    </w:p>
    <w:p w:rsidR="00657142" w:rsidRPr="00465005" w:rsidRDefault="00657142" w:rsidP="00C25B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подтверждающий, что умерший на день смерти не работал (копия трудовой книжки)</w:t>
      </w:r>
    </w:p>
    <w:p w:rsidR="00465005" w:rsidRPr="00465005" w:rsidRDefault="00465005" w:rsidP="00C25B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родился мертвый ребенок по истечении 154 дней беременности:</w:t>
      </w:r>
    </w:p>
    <w:p w:rsidR="00657142" w:rsidRPr="00465005" w:rsidRDefault="00657142" w:rsidP="006571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</w:rPr>
        <w:t xml:space="preserve">- </w:t>
      </w: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органа по форме № 26 по случаю рождения мертвого ребенка</w:t>
      </w:r>
    </w:p>
    <w:p w:rsidR="00657142" w:rsidRPr="00465005" w:rsidRDefault="00657142" w:rsidP="006571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Копия свидетельства о смерти</w:t>
      </w:r>
    </w:p>
    <w:p w:rsidR="00657142" w:rsidRPr="00465005" w:rsidRDefault="00657142" w:rsidP="006571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Копия документа, удостоверяющего личность лица, взявшего на себя организацию похорон</w:t>
      </w:r>
    </w:p>
    <w:p w:rsidR="00657142" w:rsidRPr="00465005" w:rsidRDefault="00657142" w:rsidP="006571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Документ, подтверждающий факт регистрации на территории района родителей</w:t>
      </w:r>
    </w:p>
    <w:p w:rsidR="00657142" w:rsidRPr="00465005" w:rsidRDefault="00657142" w:rsidP="00657142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shd w:val="clear" w:color="auto" w:fill="FFFFFF"/>
        </w:rPr>
      </w:pPr>
      <w:bookmarkStart w:id="9" w:name="_Toc381722141"/>
      <w:r w:rsidRPr="00465005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shd w:val="clear" w:color="auto" w:fill="FFFFFF"/>
        </w:rPr>
        <w:t>Необязательные документы</w:t>
      </w:r>
      <w:bookmarkEnd w:id="9"/>
    </w:p>
    <w:p w:rsidR="00657142" w:rsidRPr="00465005" w:rsidRDefault="00657142" w:rsidP="00C25B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65005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из отделения Пенсионного Фонда</w:t>
      </w:r>
    </w:p>
    <w:p w:rsidR="002A0D01" w:rsidRPr="00657142" w:rsidRDefault="002A0D01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  <w:bookmarkStart w:id="10" w:name="_Toc381722142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Документы, запрашиваемые с использованием межведомственного взаимодействия</w:t>
      </w:r>
      <w:bookmarkEnd w:id="10"/>
    </w:p>
    <w:p w:rsidR="002A0D01" w:rsidRPr="00657142" w:rsidRDefault="002A0D01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11" w:name="_Toc381722143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Шаблон заявления</w:t>
      </w:r>
      <w:bookmarkEnd w:id="11"/>
    </w:p>
    <w:p w:rsidR="002A0D01" w:rsidRPr="00657142" w:rsidRDefault="002A0D01" w:rsidP="002A0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шаблон</w:t>
      </w:r>
    </w:p>
    <w:p w:rsidR="002A0D01" w:rsidRPr="00657142" w:rsidRDefault="002A0D01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12" w:name="_Toc381722144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Пример заполнения заявления</w:t>
      </w:r>
      <w:bookmarkEnd w:id="12"/>
    </w:p>
    <w:p w:rsidR="002A0D01" w:rsidRPr="00657142" w:rsidRDefault="002A0D01" w:rsidP="002A0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</w:t>
      </w:r>
      <w:r w:rsidRPr="00657142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</w:p>
    <w:p w:rsidR="002A0D01" w:rsidRPr="00657142" w:rsidRDefault="002A0D01" w:rsidP="00657142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13" w:name="_Toc381722145"/>
      <w:r w:rsidRPr="0065714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Ситуации</w:t>
      </w:r>
      <w:bookmarkEnd w:id="13"/>
    </w:p>
    <w:p w:rsidR="002A0D01" w:rsidRPr="00657142" w:rsidRDefault="002A0D01" w:rsidP="002A0D0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/>
          <w:color w:val="000000" w:themeColor="text1"/>
          <w:sz w:val="24"/>
          <w:szCs w:val="24"/>
        </w:rPr>
        <w:t>При отсутствии трудовой книжки заявителем представляются иные документы, подтверждающие, что умерший не работал (справка сельского (поселкового) - совета, акт, составленный территориальным органом социальной защиты на основе опроса родственников, соседей).</w:t>
      </w:r>
    </w:p>
    <w:p w:rsidR="002A0D01" w:rsidRPr="00657142" w:rsidRDefault="002A0D01" w:rsidP="002A0D0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/>
          <w:color w:val="000000" w:themeColor="text1"/>
          <w:sz w:val="24"/>
          <w:szCs w:val="24"/>
        </w:rPr>
        <w:t>При отсутств</w:t>
      </w:r>
      <w:proofErr w:type="gramStart"/>
      <w:r w:rsidRPr="00657142">
        <w:rPr>
          <w:rFonts w:ascii="Times New Roman" w:hAnsi="Times New Roman"/>
          <w:color w:val="000000" w:themeColor="text1"/>
          <w:sz w:val="24"/>
          <w:szCs w:val="24"/>
        </w:rPr>
        <w:t>ии у у</w:t>
      </w:r>
      <w:proofErr w:type="gramEnd"/>
      <w:r w:rsidRPr="00657142">
        <w:rPr>
          <w:rFonts w:ascii="Times New Roman" w:hAnsi="Times New Roman"/>
          <w:color w:val="000000" w:themeColor="text1"/>
          <w:sz w:val="24"/>
          <w:szCs w:val="24"/>
        </w:rPr>
        <w:t>мершего регистрации по месту жительства представляются документы, подтверждающие фактическое проживание умершего на территории области (справка сельского (поселкового) совета, акт, составленный органами социальной защиты на основе опроса родственников, соседей и др.).</w:t>
      </w:r>
    </w:p>
    <w:p w:rsidR="002A0D01" w:rsidRPr="00657142" w:rsidRDefault="002A0D01" w:rsidP="002A0D0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142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Подтверждение, что </w:t>
      </w:r>
      <w:proofErr w:type="gramStart"/>
      <w:r w:rsidRPr="00657142">
        <w:rPr>
          <w:rFonts w:ascii="Times New Roman" w:hAnsi="Times New Roman"/>
          <w:color w:val="000000" w:themeColor="text1"/>
          <w:sz w:val="24"/>
          <w:szCs w:val="24"/>
        </w:rPr>
        <w:t>умерший</w:t>
      </w:r>
      <w:proofErr w:type="gramEnd"/>
      <w:r w:rsidRPr="00657142">
        <w:rPr>
          <w:rFonts w:ascii="Times New Roman" w:hAnsi="Times New Roman"/>
          <w:color w:val="000000" w:themeColor="text1"/>
          <w:sz w:val="24"/>
          <w:szCs w:val="24"/>
        </w:rPr>
        <w:t xml:space="preserve"> не являлся пенсионером, производится на основании сведений пенсионной базы.</w:t>
      </w:r>
    </w:p>
    <w:p w:rsidR="002A0D01" w:rsidRDefault="002A0D01" w:rsidP="002A0D0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7142" w:rsidRPr="00657142" w:rsidRDefault="00657142" w:rsidP="00657142">
      <w:pPr>
        <w:pStyle w:val="ConsPlusNormal"/>
        <w:ind w:firstLine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14" w:name="_Toc381722146"/>
      <w:r w:rsidRPr="00657142">
        <w:rPr>
          <w:rFonts w:ascii="Times New Roman" w:hAnsi="Times New Roman"/>
          <w:color w:val="000000" w:themeColor="text1"/>
          <w:sz w:val="24"/>
          <w:szCs w:val="24"/>
          <w:u w:val="single"/>
        </w:rPr>
        <w:t>Поправки по районам</w:t>
      </w:r>
      <w:bookmarkEnd w:id="14"/>
    </w:p>
    <w:sectPr w:rsidR="00657142" w:rsidRPr="0065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0"/>
    <w:rsid w:val="002A0D01"/>
    <w:rsid w:val="00465005"/>
    <w:rsid w:val="00657142"/>
    <w:rsid w:val="007079E4"/>
    <w:rsid w:val="00C25B10"/>
    <w:rsid w:val="00D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1 Знак Знак Знак Знак"/>
    <w:basedOn w:val="a"/>
    <w:rsid w:val="00C25B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A0D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5714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57142"/>
    <w:pPr>
      <w:spacing w:after="100"/>
    </w:pPr>
  </w:style>
  <w:style w:type="character" w:styleId="a4">
    <w:name w:val="Hyperlink"/>
    <w:basedOn w:val="a0"/>
    <w:uiPriority w:val="99"/>
    <w:unhideWhenUsed/>
    <w:rsid w:val="00657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1 Знак Знак Знак Знак"/>
    <w:basedOn w:val="a"/>
    <w:rsid w:val="00C25B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A0D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5714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57142"/>
    <w:pPr>
      <w:spacing w:after="100"/>
    </w:pPr>
  </w:style>
  <w:style w:type="character" w:styleId="a4">
    <w:name w:val="Hyperlink"/>
    <w:basedOn w:val="a0"/>
    <w:uiPriority w:val="99"/>
    <w:unhideWhenUsed/>
    <w:rsid w:val="00657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521F-FD2A-4FAB-B5C7-B7F5562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</cp:revision>
  <dcterms:created xsi:type="dcterms:W3CDTF">2014-03-04T14:04:00Z</dcterms:created>
  <dcterms:modified xsi:type="dcterms:W3CDTF">2014-03-04T14:54:00Z</dcterms:modified>
</cp:coreProperties>
</file>